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85146" w14:textId="21E01DE6" w:rsidR="00CB057D" w:rsidRPr="00F845E3" w:rsidRDefault="00F845E3" w:rsidP="00F845E3">
      <w:r w:rsidRPr="00F845E3">
        <w:rPr>
          <w:rFonts w:ascii="Lato" w:hAnsi="Lato"/>
          <w:color w:val="373737"/>
          <w:sz w:val="27"/>
          <w:szCs w:val="27"/>
          <w:shd w:val="clear" w:color="auto" w:fill="FFFFFF"/>
        </w:rPr>
        <w:t>Spółka przekazuje informacje o istotnych transakcjach z podmiotami powiązanymi zgodnie z przepisami art. 90h-90l Ustawy z dnia 29.07.2005 r. o ofercie publicznej i warunkach wprowadzania instrumentów finansowych do zorganizowanego systemu obrotu oraz o spółkach publicznych.</w:t>
      </w:r>
    </w:p>
    <w:sectPr w:rsidR="00CB057D" w:rsidRPr="00F84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EF"/>
    <w:rsid w:val="000E18EF"/>
    <w:rsid w:val="00B5784C"/>
    <w:rsid w:val="00C400D7"/>
    <w:rsid w:val="00CB057D"/>
    <w:rsid w:val="00EA0ADA"/>
    <w:rsid w:val="00F8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04C2E"/>
  <w15:chartTrackingRefBased/>
  <w15:docId w15:val="{76B66414-58EA-4DA7-8F27-194B24D4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236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Krzewiński</dc:creator>
  <cp:keywords/>
  <dc:description/>
  <cp:lastModifiedBy>Łukasz Penszko</cp:lastModifiedBy>
  <cp:revision>2</cp:revision>
  <dcterms:created xsi:type="dcterms:W3CDTF">2023-03-28T13:07:00Z</dcterms:created>
  <dcterms:modified xsi:type="dcterms:W3CDTF">2023-03-29T01:11:00Z</dcterms:modified>
</cp:coreProperties>
</file>