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8CCEC" w14:textId="77777777" w:rsidR="007931C3" w:rsidRDefault="007931C3" w:rsidP="007931C3">
      <w:pPr>
        <w:pStyle w:val="NormalnyWeb"/>
        <w:shd w:val="clear" w:color="auto" w:fill="FFFFFF"/>
        <w:spacing w:before="0" w:beforeAutospacing="0"/>
        <w:rPr>
          <w:rFonts w:ascii="Lato" w:hAnsi="Lato"/>
          <w:color w:val="373737"/>
          <w:sz w:val="27"/>
          <w:szCs w:val="27"/>
        </w:rPr>
      </w:pPr>
      <w:r>
        <w:rPr>
          <w:rFonts w:ascii="Lato" w:hAnsi="Lato"/>
          <w:color w:val="373737"/>
          <w:sz w:val="27"/>
          <w:szCs w:val="27"/>
        </w:rPr>
        <w:t xml:space="preserve">Zarząd </w:t>
      </w:r>
      <w:proofErr w:type="spellStart"/>
      <w:r>
        <w:rPr>
          <w:rFonts w:ascii="Lato" w:hAnsi="Lato"/>
          <w:color w:val="373737"/>
          <w:sz w:val="27"/>
          <w:szCs w:val="27"/>
        </w:rPr>
        <w:t>Ailleron</w:t>
      </w:r>
      <w:proofErr w:type="spellEnd"/>
      <w:r>
        <w:rPr>
          <w:rFonts w:ascii="Lato" w:hAnsi="Lato"/>
          <w:color w:val="373737"/>
          <w:sz w:val="27"/>
          <w:szCs w:val="27"/>
        </w:rPr>
        <w:t xml:space="preserve"> SA informuje, iż zgodnie z postanowieniami Statutu Spółki oraz Regulaminu Rady Nadzorczej powołanie i zmiana podmiotu uprawnionego do badania sprawozdań finansowych jako biegłego rewidenta, leży w kompetencjach organu nadzorczego Spółki, jakim jest Rada Nadzorcza. Wyboru biegłego rewidenta dokonuje Rada Nadzorcza, przy założeniach obowiązującej w Spółce Polityki i procedury wyboru firmy audytorskiej przeprowadzającej badanie sprawozdań finansowych Spółki, przyjętej uchwałą Komitetu Audytu </w:t>
      </w:r>
      <w:proofErr w:type="spellStart"/>
      <w:r>
        <w:rPr>
          <w:rFonts w:ascii="Lato" w:hAnsi="Lato"/>
          <w:color w:val="373737"/>
          <w:sz w:val="27"/>
          <w:szCs w:val="27"/>
        </w:rPr>
        <w:t>Ailleron</w:t>
      </w:r>
      <w:proofErr w:type="spellEnd"/>
      <w:r>
        <w:rPr>
          <w:rFonts w:ascii="Lato" w:hAnsi="Lato"/>
          <w:color w:val="373737"/>
          <w:sz w:val="27"/>
          <w:szCs w:val="27"/>
        </w:rPr>
        <w:t xml:space="preserve"> S.A. z dnia 25 września 2020 roku oraz uchwałą Rady Nadzorczej </w:t>
      </w:r>
      <w:proofErr w:type="spellStart"/>
      <w:r>
        <w:rPr>
          <w:rFonts w:ascii="Lato" w:hAnsi="Lato"/>
          <w:color w:val="373737"/>
          <w:sz w:val="27"/>
          <w:szCs w:val="27"/>
        </w:rPr>
        <w:t>Ailleron</w:t>
      </w:r>
      <w:proofErr w:type="spellEnd"/>
      <w:r>
        <w:rPr>
          <w:rFonts w:ascii="Lato" w:hAnsi="Lato"/>
          <w:color w:val="373737"/>
          <w:sz w:val="27"/>
          <w:szCs w:val="27"/>
        </w:rPr>
        <w:t xml:space="preserve"> S.A. z dnia 25 września 2020 r. , na podstawie obowiązujących przepisów prawa.</w:t>
      </w:r>
    </w:p>
    <w:p w14:paraId="4EBA41E4" w14:textId="77777777" w:rsidR="007931C3" w:rsidRDefault="007931C3" w:rsidP="007931C3">
      <w:pPr>
        <w:pStyle w:val="NormalnyWeb"/>
        <w:shd w:val="clear" w:color="auto" w:fill="FFFFFF"/>
        <w:spacing w:before="0" w:beforeAutospacing="0"/>
        <w:rPr>
          <w:rFonts w:ascii="Lato" w:hAnsi="Lato"/>
          <w:color w:val="373737"/>
          <w:sz w:val="27"/>
          <w:szCs w:val="27"/>
        </w:rPr>
      </w:pPr>
      <w:r>
        <w:rPr>
          <w:rFonts w:ascii="Lato" w:hAnsi="Lato"/>
          <w:color w:val="373737"/>
          <w:sz w:val="27"/>
          <w:szCs w:val="27"/>
        </w:rPr>
        <w:t>Zarząd Spółki jednocześnie informuje, iż w Spółce przestrzegany jest Art. 134 Ustawy z dnia 11.05.2017 r. o biegłych rewidentach, firmach audytorskich oraz nadzorze publicznym, o brzmieniu:</w:t>
      </w:r>
    </w:p>
    <w:p w14:paraId="5A7E9E98" w14:textId="77777777" w:rsidR="007931C3" w:rsidRDefault="007931C3" w:rsidP="007931C3">
      <w:pPr>
        <w:pStyle w:val="NormalnyWeb"/>
        <w:shd w:val="clear" w:color="auto" w:fill="FFFFFF"/>
        <w:spacing w:before="0" w:beforeAutospacing="0"/>
        <w:rPr>
          <w:rFonts w:ascii="Lato" w:hAnsi="Lato"/>
          <w:color w:val="373737"/>
          <w:sz w:val="27"/>
          <w:szCs w:val="27"/>
        </w:rPr>
      </w:pPr>
      <w:r>
        <w:rPr>
          <w:rFonts w:ascii="Lato" w:hAnsi="Lato"/>
          <w:color w:val="373737"/>
          <w:sz w:val="27"/>
          <w:szCs w:val="27"/>
        </w:rPr>
        <w:t>„Art. 134. 2. Kluczowy biegły rewident nie może przeprowadzać badania ustawowego w tej samej jednostce zainteresowania publicznego przez okres dłuższy niż 5 lat.</w:t>
      </w:r>
    </w:p>
    <w:p w14:paraId="46971418" w14:textId="77777777" w:rsidR="007931C3" w:rsidRDefault="007931C3" w:rsidP="007931C3">
      <w:pPr>
        <w:pStyle w:val="NormalnyWeb"/>
        <w:shd w:val="clear" w:color="auto" w:fill="FFFFFF"/>
        <w:spacing w:before="0" w:beforeAutospacing="0"/>
        <w:rPr>
          <w:rFonts w:ascii="Lato" w:hAnsi="Lato"/>
          <w:color w:val="373737"/>
          <w:sz w:val="27"/>
          <w:szCs w:val="27"/>
        </w:rPr>
      </w:pPr>
      <w:r>
        <w:rPr>
          <w:rFonts w:ascii="Lato" w:hAnsi="Lato"/>
          <w:color w:val="373737"/>
          <w:sz w:val="27"/>
          <w:szCs w:val="27"/>
        </w:rPr>
        <w:t>3. Kluczowy biegły rewident może ponownie przeprowadzać badanie ustawowe w jednostce, o której mowa w ust. 2, po upływie co najmniej 3 lat od zakończenia                                  ostatniego badania ustawowego.”</w:t>
      </w:r>
    </w:p>
    <w:p w14:paraId="2CEAC59F" w14:textId="77777777" w:rsidR="007931C3" w:rsidRDefault="007931C3" w:rsidP="007931C3">
      <w:pPr>
        <w:pStyle w:val="NormalnyWeb"/>
        <w:shd w:val="clear" w:color="auto" w:fill="FFFFFF"/>
        <w:spacing w:before="0" w:beforeAutospacing="0"/>
        <w:rPr>
          <w:rFonts w:ascii="Lato" w:hAnsi="Lato"/>
          <w:color w:val="373737"/>
          <w:sz w:val="27"/>
          <w:szCs w:val="27"/>
        </w:rPr>
      </w:pPr>
      <w:r>
        <w:rPr>
          <w:rFonts w:ascii="Lato" w:hAnsi="Lato"/>
          <w:color w:val="373737"/>
          <w:sz w:val="27"/>
          <w:szCs w:val="27"/>
        </w:rPr>
        <w:t xml:space="preserve">W związku z wyżej wymienioną Ustawą i obowiązującymi w Spółce procedurami wyboru biegłego rewidenta, regułą w Grupie </w:t>
      </w:r>
      <w:proofErr w:type="spellStart"/>
      <w:r>
        <w:rPr>
          <w:rFonts w:ascii="Lato" w:hAnsi="Lato"/>
          <w:color w:val="373737"/>
          <w:sz w:val="27"/>
          <w:szCs w:val="27"/>
        </w:rPr>
        <w:t>Ailleron</w:t>
      </w:r>
      <w:proofErr w:type="spellEnd"/>
      <w:r>
        <w:rPr>
          <w:rFonts w:ascii="Lato" w:hAnsi="Lato"/>
          <w:color w:val="373737"/>
          <w:sz w:val="27"/>
          <w:szCs w:val="27"/>
        </w:rPr>
        <w:t xml:space="preserve"> SA jest zmiana kluczowego biegłego rewidenta w okresie nie dłuższym niż 5 lat.</w:t>
      </w:r>
    </w:p>
    <w:p w14:paraId="23BE4193" w14:textId="77777777" w:rsidR="00CB057D" w:rsidRDefault="00CB057D"/>
    <w:sectPr w:rsidR="00CB0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C3"/>
    <w:rsid w:val="007931C3"/>
    <w:rsid w:val="00B5784C"/>
    <w:rsid w:val="00C400D7"/>
    <w:rsid w:val="00CB057D"/>
    <w:rsid w:val="00EA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40BA3"/>
  <w15:chartTrackingRefBased/>
  <w15:docId w15:val="{F64E8250-0060-4B10-B79E-D07ED9CD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93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7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Krzewiński</dc:creator>
  <cp:keywords/>
  <dc:description/>
  <cp:lastModifiedBy>Sebastian Krzewiński</cp:lastModifiedBy>
  <cp:revision>1</cp:revision>
  <dcterms:created xsi:type="dcterms:W3CDTF">2023-03-28T13:08:00Z</dcterms:created>
  <dcterms:modified xsi:type="dcterms:W3CDTF">2023-03-28T13:09:00Z</dcterms:modified>
</cp:coreProperties>
</file>